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2701925</wp:posOffset>
                </wp:positionH>
                <wp:positionV relativeFrom="paragraph">
                  <wp:posOffset>4445</wp:posOffset>
                </wp:positionV>
                <wp:extent cx="1016000" cy="335280"/>
                <wp:effectExtent l="635" t="635" r="4362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016000" cy="335280"/>
                        </a:xfrm>
                        <a:prstGeom prst="wedgeRectCallout">
                          <a:avLst>
                            <a:gd name="adj1" fmla="val 89752"/>
                            <a:gd name="adj2" fmla="val -7308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  <w:t>提出日を記入</w:t>
                            </w:r>
                          </w:p>
                        </w:txbxContent>
                      </wps:txbx>
                      <wps:bodyPr vertOverflow="overflow" horzOverflow="overflow" wrap="square" lIns="36000" tIns="36000" rIns="36000" bIns="36000" anchor="ctr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オブジェクト 0" style="mso-position-vertical-relative:text;z-index:2;mso-wrap-distance-left:16pt;width:80pt;height:26.4pt;mso-position-horizontal-relative:text;position:absolute;margin-left:212.75pt;margin-top:0.35pt;mso-wrap-distance-bottom:0pt;mso-wrap-distance-right:16pt;mso-wrap-distance-top:0pt;v-text-anchor:middle;" o:spid="_x0000_s1026" o:allowincell="t" o:allowoverlap="t" filled="t" fillcolor="#ffffff [3201]" stroked="t" strokecolor="#000000 [3200]" strokeweight="1pt" o:spt="61" type="#_x0000_t61" adj="30186,9221">
                <v:fill/>
                <v:stroke linestyle="single" miterlimit="8" endcap="flat" dashstyle="solid" filltype="solid"/>
                <v:textbox style="layout-flow:horizontal;" inset="0.99999999999999978mm,0.99999999999999978mm,0.99999999999999978mm,0.99999999999999978mm">
                  <w:txbxContent>
                    <w:p>
                      <w:pPr>
                        <w:pStyle w:val="0"/>
                        <w:jc w:val="center"/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  <w:t>提出日を記入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丸ｺﾞｼｯｸM-PRO" w:hAnsi="HG丸ｺﾞｼｯｸM-PRO" w:eastAsia="HG丸ｺﾞｼｯｸM-PRO"/>
          <w:sz w:val="22"/>
        </w:rPr>
        <w:t>令和</w:t>
      </w:r>
      <w:r>
        <w:rPr>
          <w:rFonts w:hint="eastAsia" w:ascii="HG丸ｺﾞｼｯｸM-PRO" w:hAnsi="HG丸ｺﾞｼｯｸM-PRO" w:eastAsia="HG丸ｺﾞｼｯｸM-PRO"/>
          <w:sz w:val="22"/>
          <w:u w:val="single" w:color="auto"/>
        </w:rPr>
        <w:t>○○</w:t>
      </w:r>
      <w:r>
        <w:rPr>
          <w:rFonts w:hint="eastAsia" w:ascii="HG丸ｺﾞｼｯｸM-PRO" w:hAnsi="HG丸ｺﾞｼｯｸM-PRO" w:eastAsia="HG丸ｺﾞｼｯｸM-PRO"/>
          <w:sz w:val="22"/>
        </w:rPr>
        <w:t>年</w:t>
      </w:r>
      <w:r>
        <w:rPr>
          <w:rFonts w:hint="eastAsia" w:ascii="HG丸ｺﾞｼｯｸM-PRO" w:hAnsi="HG丸ｺﾞｼｯｸM-PRO" w:eastAsia="HG丸ｺﾞｼｯｸM-PRO"/>
          <w:sz w:val="22"/>
          <w:u w:val="single" w:color="auto"/>
        </w:rPr>
        <w:t>○○</w:t>
      </w:r>
      <w:r>
        <w:rPr>
          <w:rFonts w:hint="eastAsia" w:ascii="HG丸ｺﾞｼｯｸM-PRO" w:hAnsi="HG丸ｺﾞｼｯｸM-PRO" w:eastAsia="HG丸ｺﾞｼｯｸM-PRO"/>
          <w:sz w:val="22"/>
        </w:rPr>
        <w:t>月</w:t>
      </w:r>
      <w:r>
        <w:rPr>
          <w:rFonts w:hint="eastAsia" w:ascii="HG丸ｺﾞｼｯｸM-PRO" w:hAnsi="HG丸ｺﾞｼｯｸM-PRO" w:eastAsia="HG丸ｺﾞｼｯｸM-PRO"/>
          <w:sz w:val="22"/>
          <w:u w:val="single" w:color="auto"/>
        </w:rPr>
        <w:t>○○</w:t>
      </w:r>
      <w:r>
        <w:rPr>
          <w:rFonts w:hint="eastAsia" w:ascii="HG丸ｺﾞｼｯｸM-PRO" w:hAnsi="HG丸ｺﾞｼｯｸM-PRO" w:eastAsia="HG丸ｺﾞｼｯｸM-PRO"/>
          <w:sz w:val="22"/>
        </w:rPr>
        <w:t>日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4063365</wp:posOffset>
                </wp:positionH>
                <wp:positionV relativeFrom="paragraph">
                  <wp:posOffset>55880</wp:posOffset>
                </wp:positionV>
                <wp:extent cx="1645920" cy="965200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1645920" cy="965200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4"/>
                                <w:u w:val="single" w:color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4"/>
                                <w:u w:val="single" w:color="auto"/>
                              </w:rPr>
                              <w:t>※４月中に提出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4"/>
                                <w:u w:val="single" w:color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4"/>
                                <w:u w:val="single" w:color="auto"/>
                              </w:rPr>
                              <w:t>【期限厳守！】</w:t>
                            </w:r>
                          </w:p>
                        </w:txbxContent>
                      </wps:txbx>
                      <wps:bodyPr vertOverflow="overflow" horzOverflow="overflow" wrap="square" lIns="36000" tIns="36000" rIns="36000" bIns="36000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position-vertical-relative:text;z-index:5;mso-wrap-distance-left:16pt;width:129.6pt;height:76pt;mso-position-horizontal-relative:text;position:absolute;margin-left:319.95pt;margin-top:4.4000000000000004pt;mso-wrap-distance-bottom:0pt;mso-wrap-distance-right:16pt;mso-wrap-distance-top:0pt;v-text-anchor:middle;" o:spid="_x0000_s1027" o:allowincell="t" o:allowoverlap="t" filled="t" fillcolor="#ffff00" stroked="t" strokecolor="#000000 [3200]" strokeweight="1pt" o:spt="2" arcsize="10923f">
                <v:fill/>
                <v:stroke linestyle="single" miterlimit="8" endcap="flat" dashstyle="solid" filltype="solid"/>
                <v:textbox style="layout-flow:horizontal;" inset="0.99999999999999978mm,0.99999999999999978mm,0.99999999999999978mm,0.99999999999999978mm">
                  <w:txbxContent>
                    <w:p>
                      <w:pPr>
                        <w:pStyle w:val="0"/>
                        <w:jc w:val="center"/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0000"/>
                          <w:sz w:val="24"/>
                          <w:u w:val="single" w:color="aut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0000"/>
                          <w:sz w:val="24"/>
                          <w:u w:val="single" w:color="auto"/>
                        </w:rPr>
                        <w:t>※４月中に提出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0000"/>
                          <w:sz w:val="24"/>
                          <w:u w:val="single" w:color="aut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FF0000"/>
                          <w:sz w:val="24"/>
                          <w:u w:val="single" w:color="auto"/>
                        </w:rPr>
                        <w:t>【期限厳守！】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知立市長　様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212090</wp:posOffset>
                </wp:positionV>
                <wp:extent cx="1879600" cy="1351280"/>
                <wp:effectExtent l="635" t="635" r="31051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1879600" cy="1351280"/>
                        </a:xfrm>
                        <a:prstGeom prst="wedgeRectCallout">
                          <a:avLst>
                            <a:gd name="adj1" fmla="val 64897"/>
                            <a:gd name="adj2" fmla="val 3192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  <w:t>住所：区長宅住所を記入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  <w:t>（公民館の住所は不可）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  <w:t>町名：該当する町名を記入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  <w:t>区長名：区長の氏名を記入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オブジェクト 0" style="mso-position-vertical-relative:text;z-index:3;mso-wrap-distance-left:16pt;width:148pt;height:106.4pt;mso-position-horizontal-relative:text;position:absolute;margin-left:31.55pt;margin-top:16.7pt;mso-wrap-distance-bottom:0pt;mso-wrap-distance-right:16pt;mso-wrap-distance-top:0pt;v-text-anchor:middle;" o:spid="_x0000_s1028" o:allowincell="t" o:allowoverlap="t" filled="t" fillcolor="#ffffff [3201]" stroked="t" strokecolor="#000000 [3200]" strokeweight="1pt" o:spt="61" type="#_x0000_t61" adj="24818,11489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  <w:t>住所：区長宅住所を記入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  <w:t>（公民館の住所は不可）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  <w:t>町名：該当する町名を記入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  <w:t>区長名：区長の氏名を記入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申請者　　　　　　　　　　　　　　　　　　　　　</w:t>
      </w: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住　　　所　　　　　</w:t>
      </w:r>
      <w:r>
        <w:rPr>
          <w:rFonts w:hint="eastAsia" w:ascii="HG丸ｺﾞｼｯｸM-PRO" w:hAnsi="HG丸ｺﾞｼｯｸM-PRO" w:eastAsia="HG丸ｺﾞｼｯｸM-PRO"/>
          <w:sz w:val="22"/>
          <w:u w:val="single" w:color="auto"/>
        </w:rPr>
        <w:t>　知立市　○○町○○番地　</w:t>
      </w: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団体名（町名）　　　</w:t>
      </w:r>
      <w:r>
        <w:rPr>
          <w:rFonts w:hint="eastAsia" w:ascii="HG丸ｺﾞｼｯｸM-PRO" w:hAnsi="HG丸ｺﾞｼｯｸM-PRO" w:eastAsia="HG丸ｺﾞｼｯｸM-PRO"/>
          <w:sz w:val="22"/>
          <w:u w:val="single" w:color="auto"/>
        </w:rPr>
        <w:t>　　○○　町　　　　　　　</w:t>
      </w: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代表者名（区長名）　</w:t>
      </w:r>
      <w:r>
        <w:rPr>
          <w:rFonts w:hint="eastAsia" w:ascii="HG丸ｺﾞｼｯｸM-PRO" w:hAnsi="HG丸ｺﾞｼｯｸM-PRO" w:eastAsia="HG丸ｺﾞｼｯｸM-PRO"/>
          <w:sz w:val="22"/>
          <w:u w:val="single" w:color="auto"/>
        </w:rPr>
        <w:t>　　○○○○　　　　　　　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258445</wp:posOffset>
                </wp:positionV>
                <wp:extent cx="1005840" cy="406400"/>
                <wp:effectExtent l="635" t="635" r="29845" b="21018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>
                          <a:off x="0" y="0"/>
                          <a:ext cx="1005840" cy="406400"/>
                        </a:xfrm>
                        <a:prstGeom prst="wedgeRectCallout">
                          <a:avLst>
                            <a:gd name="adj1" fmla="val -40936"/>
                            <a:gd name="adj2" fmla="val 98922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  <w:t>年度を記入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オブジェクト 0" style="mso-position-vertical-relative:text;z-index:4;mso-wrap-distance-left:16pt;width:79.2pt;height:32pt;mso-position-horizontal-relative:text;position:absolute;margin-left:332.55pt;margin-top:20.350000000000001pt;mso-wrap-distance-bottom:0pt;mso-wrap-distance-right:16pt;mso-wrap-distance-top:0pt;v-text-anchor:middle;" o:spid="_x0000_s1029" o:allowincell="t" o:allowoverlap="t" filled="t" fillcolor="#ffffff [3201]" stroked="t" strokecolor="#000000 [3200]" strokeweight="1pt" o:spt="61" type="#_x0000_t61" adj="1958,32167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  <w:t>年度を記入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center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pacing w:val="90"/>
          <w:sz w:val="24"/>
          <w:fitText w:val="3600" w:id="1"/>
        </w:rPr>
        <w:t>補助金等実績報告</w:t>
      </w:r>
      <w:r>
        <w:rPr>
          <w:rFonts w:hint="eastAsia" w:ascii="HG丸ｺﾞｼｯｸM-PRO" w:hAnsi="HG丸ｺﾞｼｯｸM-PRO" w:eastAsia="HG丸ｺﾞｼｯｸM-PRO"/>
          <w:sz w:val="24"/>
          <w:fitText w:val="3600" w:id="1"/>
        </w:rPr>
        <w:t>書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令和</w:t>
      </w:r>
      <w:r>
        <w:rPr>
          <w:rFonts w:hint="eastAsia" w:ascii="HG丸ｺﾞｼｯｸM-PRO" w:hAnsi="HG丸ｺﾞｼｯｸM-PRO" w:eastAsia="HG丸ｺﾞｼｯｸM-PRO"/>
          <w:sz w:val="22"/>
          <w:u w:val="single"/>
        </w:rPr>
        <w:t>○○</w:t>
      </w:r>
      <w:r>
        <w:rPr>
          <w:rFonts w:hint="eastAsia" w:ascii="HG丸ｺﾞｼｯｸM-PRO" w:hAnsi="HG丸ｺﾞｼｯｸM-PRO" w:eastAsia="HG丸ｺﾞｼｯｸM-PRO"/>
          <w:sz w:val="22"/>
        </w:rPr>
        <w:t>年</w:t>
      </w:r>
      <w:r>
        <w:rPr>
          <w:rFonts w:hint="eastAsia" w:ascii="HG丸ｺﾞｼｯｸM-PRO" w:hAnsi="HG丸ｺﾞｼｯｸM-PRO" w:eastAsia="HG丸ｺﾞｼｯｸM-PRO"/>
          <w:sz w:val="22"/>
          <w:u w:val="single"/>
        </w:rPr>
        <w:t>○○</w:t>
      </w:r>
      <w:r>
        <w:rPr>
          <w:rFonts w:hint="eastAsia" w:ascii="HG丸ｺﾞｼｯｸM-PRO" w:hAnsi="HG丸ｺﾞｼｯｸM-PRO" w:eastAsia="HG丸ｺﾞｼｯｸM-PRO"/>
          <w:sz w:val="22"/>
        </w:rPr>
        <w:t>月</w:t>
      </w:r>
      <w:r>
        <w:rPr>
          <w:rFonts w:hint="eastAsia" w:ascii="HG丸ｺﾞｼｯｸM-PRO" w:hAnsi="HG丸ｺﾞｼｯｸM-PRO" w:eastAsia="HG丸ｺﾞｼｯｸM-PRO"/>
          <w:sz w:val="22"/>
          <w:u w:val="single"/>
        </w:rPr>
        <w:t>○○</w:t>
      </w:r>
      <w:r>
        <w:rPr>
          <w:rFonts w:hint="eastAsia" w:ascii="HG丸ｺﾞｼｯｸM-PRO" w:hAnsi="HG丸ｺﾞｼｯｸM-PRO" w:eastAsia="HG丸ｺﾞｼｯｸM-PRO"/>
          <w:sz w:val="22"/>
        </w:rPr>
        <w:t>日付けで補助金等の交付決定を受けた令和</w:t>
      </w:r>
      <w:r>
        <w:rPr>
          <w:rFonts w:hint="eastAsia" w:ascii="HG丸ｺﾞｼｯｸM-PRO" w:hAnsi="HG丸ｺﾞｼｯｸM-PRO" w:eastAsia="HG丸ｺﾞｼｯｸM-PRO"/>
          <w:sz w:val="22"/>
          <w:u w:val="single"/>
        </w:rPr>
        <w:t>○○</w:t>
      </w:r>
      <w:r>
        <w:rPr>
          <w:rFonts w:hint="eastAsia" w:ascii="HG丸ｺﾞｼｯｸM-PRO" w:hAnsi="HG丸ｺﾞｼｯｸM-PRO" w:eastAsia="HG丸ｺﾞｼｯｸM-PRO"/>
          <w:sz w:val="22"/>
        </w:rPr>
        <w:t>年度老人憩の家運営費事業が完了</w:t>
      </w:r>
      <w:r>
        <w:rPr>
          <w:rFonts w:hint="eastAsia" w:ascii="HG丸ｺﾞｼｯｸM-PRO" w:hAnsi="HG丸ｺﾞｼｯｸM-PRO" w:eastAsia="HG丸ｺﾞｼｯｸM-PRO"/>
          <w:strike w:val="1"/>
          <w:dstrike w:val="0"/>
          <w:sz w:val="22"/>
        </w:rPr>
        <w:t>（廃止・中止）</w:t>
      </w:r>
      <w:r>
        <w:rPr>
          <w:rFonts w:hint="eastAsia" w:ascii="HG丸ｺﾞｼｯｸM-PRO" w:hAnsi="HG丸ｺﾞｼｯｸM-PRO" w:eastAsia="HG丸ｺﾞｼｯｸM-PRO"/>
          <w:sz w:val="22"/>
        </w:rPr>
        <w:t>したので、知立市補助金等交付規則第１０条の規定により下記のとお</w: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30" behindDoc="0" locked="0" layoutInCell="1" hidden="0" allowOverlap="1">
                <wp:simplePos x="0" y="0"/>
                <wp:positionH relativeFrom="column">
                  <wp:posOffset>873125</wp:posOffset>
                </wp:positionH>
                <wp:positionV relativeFrom="paragraph">
                  <wp:posOffset>585470</wp:posOffset>
                </wp:positionV>
                <wp:extent cx="3515360" cy="406400"/>
                <wp:effectExtent l="635" t="350520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3515360" cy="406400"/>
                        </a:xfrm>
                        <a:prstGeom prst="wedgeRectCallout">
                          <a:avLst>
                            <a:gd name="adj1" fmla="val -38967"/>
                            <a:gd name="adj2" fmla="val -136078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  <w:t>交付決定日（補助金等交付決定通知書の日付）を記入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オブジェクト 0" style="mso-position-vertical-relative:text;z-index:130;mso-wrap-distance-left:16pt;width:276.8pt;height:32pt;mso-position-horizontal-relative:text;position:absolute;margin-left:68.75pt;margin-top:46.1pt;mso-wrap-distance-bottom:0pt;mso-wrap-distance-right:16pt;mso-wrap-distance-top:0pt;v-text-anchor:middle;" o:spid="_x0000_s1030" o:allowincell="t" o:allowoverlap="t" filled="t" fillcolor="#ffffff [3201]" stroked="t" strokecolor="#000000 [3200]" strokeweight="1pt" o:spt="61" type="#_x0000_t61" adj="2383,-18593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  <w:t>交付決定日（補助金等交付決定通知書の日付）を記入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丸ｺﾞｼｯｸM-PRO" w:hAnsi="HG丸ｺﾞｼｯｸM-PRO" w:eastAsia="HG丸ｺﾞｼｯｸM-PRO"/>
          <w:sz w:val="22"/>
        </w:rPr>
        <w:t>り報告します。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jc w:val="center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記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１　事業実績及び効果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　　別添のとおり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２　収支決算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　　別添のとおり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jc w:val="center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令和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○○</w:t>
      </w:r>
      <w:r>
        <w:rPr>
          <w:rFonts w:hint="eastAsia" w:ascii="HG丸ｺﾞｼｯｸM-PRO" w:hAnsi="HG丸ｺﾞｼｯｸM-PRO" w:eastAsia="HG丸ｺﾞｼｯｸM-PRO"/>
          <w:sz w:val="24"/>
        </w:rPr>
        <w:t>年度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　○○町　</w:t>
      </w:r>
      <w:r>
        <w:rPr>
          <w:rFonts w:hint="eastAsia" w:ascii="HG丸ｺﾞｼｯｸM-PRO" w:hAnsi="HG丸ｺﾞｼｯｸM-PRO" w:eastAsia="HG丸ｺﾞｼｯｸM-PRO"/>
          <w:sz w:val="24"/>
        </w:rPr>
        <w:t>老人憩の家管理運営事業報告書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tbl>
      <w:tblPr>
        <w:tblStyle w:val="17"/>
        <w:tblW w:w="8502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835"/>
        <w:gridCol w:w="5160"/>
        <w:gridCol w:w="1200"/>
        <w:gridCol w:w="1307"/>
      </w:tblGrid>
      <w:tr>
        <w:trPr/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月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6" behindDoc="0" locked="0" layoutInCell="1" hidden="0" allowOverlap="1">
                      <wp:simplePos x="0" y="0"/>
                      <wp:positionH relativeFrom="column">
                        <wp:posOffset>911225</wp:posOffset>
                      </wp:positionH>
                      <wp:positionV relativeFrom="paragraph">
                        <wp:posOffset>-160655</wp:posOffset>
                      </wp:positionV>
                      <wp:extent cx="1605280" cy="406400"/>
                      <wp:effectExtent l="635" t="154940" r="29845" b="10795"/>
                      <wp:wrapNone/>
                      <wp:docPr id="1031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オブジェクト 0"/>
                            <wps:cNvSpPr/>
                            <wps:spPr>
                              <a:xfrm>
                                <a:off x="0" y="0"/>
                                <a:ext cx="1605280" cy="406400"/>
                              </a:xfrm>
                              <a:prstGeom prst="wedgeRectCallout">
                                <a:avLst>
                                  <a:gd name="adj1" fmla="val -43737"/>
                                  <a:gd name="adj2" fmla="val -87953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none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ascii="HG丸ｺﾞｼｯｸM-PRO" w:hAnsi="HG丸ｺﾞｼｯｸM-PRO" w:eastAsia="HG丸ｺﾞｼｯｸM-PRO"/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color w:val="auto"/>
                                    </w:rPr>
                                    <w:t>年度及び町名を記入</w:t>
                                  </w:r>
                                </w:p>
                              </w:txbxContent>
                            </wps:txbx>
                            <wps:bodyPr vertOverflow="overflow" horzOverflow="overflow" wrap="squar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オブジェクト 0" style="mso-position-vertical-relative:text;z-index:6;mso-wrap-distance-left:16pt;width:126.4pt;height:32pt;mso-position-horizontal-relative:text;position:absolute;margin-left:71.75pt;margin-top:-12.65pt;mso-wrap-distance-bottom:0pt;mso-wrap-distance-right:16pt;mso-wrap-distance-top:0pt;v-text-anchor:middle;" o:spid="_x0000_s1031" o:allowincell="t" o:allowoverlap="t" filled="t" fillcolor="#ffffff [3201]" stroked="t" strokecolor="#000000 [3200]" strokeweight="1pt" o:spt="61" type="#_x0000_t61" adj="1353,-8198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  <w:t>年度及び町名を記入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HG丸ｺﾞｼｯｸM-PRO" w:hAnsi="HG丸ｺﾞｼｯｸM-PRO" w:eastAsia="HG丸ｺﾞｼｯｸM-PRO"/>
                <w:spacing w:val="476"/>
                <w:sz w:val="22"/>
                <w:fitText w:val="3740" w:id="2"/>
              </w:rPr>
              <w:t>事業内</w:t>
            </w:r>
            <w:r>
              <w:rPr>
                <w:rFonts w:hint="eastAsia" w:ascii="HG丸ｺﾞｼｯｸM-PRO" w:hAnsi="HG丸ｺﾞｼｯｸM-PRO" w:eastAsia="HG丸ｺﾞｼｯｸM-PRO"/>
                <w:spacing w:val="2"/>
                <w:sz w:val="22"/>
                <w:fitText w:val="3740" w:id="2"/>
              </w:rPr>
              <w:t>容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開館日数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予定人数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4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110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5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80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6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110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7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110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8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16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70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9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110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10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25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110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11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110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12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19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80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90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100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3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老人クラブ役員会（毎月第１日曜日）、カラオケクラブ（月２回）、詩吟（月３回）等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110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人</w:t>
            </w:r>
          </w:p>
        </w:tc>
      </w:tr>
    </w:tbl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jc w:val="center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令和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○○</w:t>
      </w:r>
      <w:r>
        <w:rPr>
          <w:rFonts w:hint="eastAsia" w:ascii="HG丸ｺﾞｼｯｸM-PRO" w:hAnsi="HG丸ｺﾞｼｯｸM-PRO" w:eastAsia="HG丸ｺﾞｼｯｸM-PRO"/>
          <w:sz w:val="24"/>
        </w:rPr>
        <w:t>年度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　○○町　</w:t>
      </w:r>
      <w:r>
        <w:rPr>
          <w:rFonts w:hint="eastAsia" w:ascii="HG丸ｺﾞｼｯｸM-PRO" w:hAnsi="HG丸ｺﾞｼｯｸM-PRO" w:eastAsia="HG丸ｺﾞｼｯｸM-PRO"/>
          <w:sz w:val="24"/>
          <w:u w:val="none" w:color="auto"/>
        </w:rPr>
        <w:t>老人憩の家管理運営費歳入歳出予算書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55880</wp:posOffset>
                </wp:positionV>
                <wp:extent cx="1605280" cy="406400"/>
                <wp:effectExtent l="635" t="81280" r="29845" b="1079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/>
                      <wps:spPr>
                        <a:xfrm>
                          <a:off x="0" y="0"/>
                          <a:ext cx="1605280" cy="406400"/>
                        </a:xfrm>
                        <a:prstGeom prst="wedgeRectCallout">
                          <a:avLst>
                            <a:gd name="adj1" fmla="val -36784"/>
                            <a:gd name="adj2" fmla="val -69828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color w:val="auto"/>
                              </w:rPr>
                              <w:t>年度及び町名を記入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オブジェクト 0" style="mso-position-vertical-relative:text;z-index:7;mso-wrap-distance-left:16pt;width:126.4pt;height:32pt;mso-position-horizontal-relative:text;position:absolute;margin-left:99.15pt;margin-top:4.4000000000000004pt;mso-wrap-distance-bottom:0pt;mso-wrap-distance-right:16pt;mso-wrap-distance-top:0pt;v-text-anchor:middle;" o:spid="_x0000_s1032" o:allowincell="t" o:allowoverlap="t" filled="t" fillcolor="#ffffff [3201]" stroked="t" strokecolor="#000000 [3200]" strokeweight="1pt" o:spt="61" type="#_x0000_t61" adj="2855,-4283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color w:val="auto"/>
                        </w:rPr>
                        <w:t>年度及び町名を記入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（歳入）　　　　　　　　　　　　　　　　　　　　　　　　　　　　　（単位：円）</w:t>
      </w:r>
    </w:p>
    <w:tbl>
      <w:tblPr>
        <w:tblStyle w:val="17"/>
        <w:tblW w:w="8504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85"/>
        <w:gridCol w:w="1303"/>
        <w:gridCol w:w="1303"/>
        <w:gridCol w:w="1304"/>
        <w:gridCol w:w="2709"/>
      </w:tblGrid>
      <w:tr>
        <w:trPr/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項　目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予　算　額</w:t>
            </w: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決　算　額</w:t>
            </w: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比較増減</w:t>
            </w:r>
          </w:p>
        </w:tc>
        <w:tc>
          <w:tcPr>
            <w:tcW w:w="2709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備　考</w:t>
            </w: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1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市補助金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35,000</w:t>
            </w: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35,000</w:t>
            </w: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0</w:t>
            </w: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老人憩の家管理運営費補助金</w:t>
            </w: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2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その他の収入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50,000</w:t>
            </w: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45,800</w:t>
            </w: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4,200</w:t>
            </w: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町内会より等</w:t>
            </w: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歳　入　合　計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85,000</w:t>
            </w: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80,800</w:t>
            </w: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4,200</w:t>
            </w: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</w:tbl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bookmarkStart w:id="0" w:name="_GoBack"/>
      <w:bookmarkEnd w:id="0"/>
      <w:r>
        <w:rPr>
          <w:rFonts w:hint="eastAsia" w:ascii="HG丸ｺﾞｼｯｸM-PRO" w:hAnsi="HG丸ｺﾞｼｯｸM-PRO" w:eastAsia="HG丸ｺﾞｼｯｸM-PRO"/>
          <w:sz w:val="22"/>
        </w:rPr>
        <w:t>（歳出）　　　　　　　　　　　　　　　　　　　　　　　　　　　　　（単位：円）</w:t>
      </w:r>
    </w:p>
    <w:tbl>
      <w:tblPr>
        <w:tblStyle w:val="17"/>
        <w:tblW w:w="8504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85"/>
        <w:gridCol w:w="1303"/>
        <w:gridCol w:w="1303"/>
        <w:gridCol w:w="1304"/>
        <w:gridCol w:w="2709"/>
      </w:tblGrid>
      <w:tr>
        <w:trPr/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項　目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予　算　額</w:t>
            </w: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決　算　額</w:t>
            </w: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比較増減</w:t>
            </w:r>
          </w:p>
        </w:tc>
        <w:tc>
          <w:tcPr>
            <w:tcW w:w="2709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備　考</w:t>
            </w: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1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消耗品費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30,000</w:t>
            </w: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28,500</w:t>
            </w: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1,500</w:t>
            </w: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諸用紙、鉛筆、ボールペン、蛍光灯などの物品購入費</w:t>
            </w: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2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燃料費及び</w:t>
            </w:r>
          </w:p>
          <w:p>
            <w:pPr>
              <w:pStyle w:val="0"/>
              <w:ind w:firstLine="220" w:firstLineChars="10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光熱水費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55,000</w:t>
            </w: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52,300</w:t>
            </w: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2,700</w:t>
            </w: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電気、ガス、水道代</w:t>
            </w: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3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印刷製本費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4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修繕料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5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テレビ受信料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6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その他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787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8" behindDoc="0" locked="0" layoutInCell="1" hidden="0" allowOverlap="1">
                      <wp:simplePos x="0" y="0"/>
                      <wp:positionH relativeFrom="column">
                        <wp:posOffset>-1471295</wp:posOffset>
                      </wp:positionH>
                      <wp:positionV relativeFrom="paragraph">
                        <wp:posOffset>-1022985</wp:posOffset>
                      </wp:positionV>
                      <wp:extent cx="2844800" cy="1381760"/>
                      <wp:effectExtent l="635" t="635" r="29845" b="10795"/>
                      <wp:wrapNone/>
                      <wp:docPr id="1033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オブジェクト 0"/>
                            <wps:cNvSpPr/>
                            <wps:spPr>
                              <a:xfrm>
                                <a:off x="0" y="0"/>
                                <a:ext cx="2844800" cy="138176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none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HG丸ｺﾞｼｯｸM-PRO" w:hAnsi="HG丸ｺﾞｼｯｸM-PRO" w:eastAsia="HG丸ｺﾞｼｯｸM-PRO"/>
                                      <w:b w:val="1"/>
                                      <w:color w:val="FF0000"/>
                                      <w:sz w:val="21"/>
                                      <w:u w:val="none" w:color="auto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b w:val="1"/>
                                      <w:color w:val="FF0000"/>
                                      <w:sz w:val="21"/>
                                      <w:u w:val="single" w:color="auto"/>
                                    </w:rPr>
                                    <w:t>※令和５年度より補助対象経費の項目が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HG丸ｺﾞｼｯｸM-PRO" w:hAnsi="HG丸ｺﾞｼｯｸM-PRO" w:eastAsia="HG丸ｺﾞｼｯｸM-PRO"/>
                                      <w:b w:val="1"/>
                                      <w:color w:val="FF0000"/>
                                      <w:sz w:val="21"/>
                                      <w:u w:val="none" w:color="auto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b w:val="1"/>
                                      <w:color w:val="FF0000"/>
                                      <w:sz w:val="21"/>
                                      <w:u w:val="none" w:color="auto"/>
                                    </w:rPr>
                                    <w:t>　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b w:val="1"/>
                                      <w:color w:val="FF0000"/>
                                      <w:sz w:val="21"/>
                                      <w:u w:val="single" w:color="auto"/>
                                    </w:rPr>
                                    <w:t>消耗品費、燃料費及び光熱水費、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HG丸ｺﾞｼｯｸM-PRO" w:hAnsi="HG丸ｺﾞｼｯｸM-PRO" w:eastAsia="HG丸ｺﾞｼｯｸM-PRO"/>
                                      <w:b w:val="1"/>
                                      <w:color w:val="FF0000"/>
                                      <w:sz w:val="21"/>
                                      <w:u w:val="none" w:color="auto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b w:val="1"/>
                                      <w:color w:val="FF0000"/>
                                      <w:sz w:val="21"/>
                                      <w:u w:val="none" w:color="auto"/>
                                    </w:rPr>
                                    <w:t>　</w:t>
                                  </w: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b w:val="1"/>
                                      <w:color w:val="FF0000"/>
                                      <w:sz w:val="21"/>
                                      <w:u w:val="single" w:color="auto"/>
                                    </w:rPr>
                                    <w:t>印刷製本費、修繕料、テレビ受信料</w:t>
                                  </w:r>
                                </w:p>
                                <w:p>
                                  <w:pPr>
                                    <w:pStyle w:val="0"/>
                                    <w:ind w:firstLine="210" w:firstLineChars="100"/>
                                    <w:rPr>
                                      <w:rFonts w:hint="eastAsia" w:ascii="HG丸ｺﾞｼｯｸM-PRO" w:hAnsi="HG丸ｺﾞｼｯｸM-PRO" w:eastAsia="HG丸ｺﾞｼｯｸM-PRO"/>
                                      <w:b w:val="1"/>
                                      <w:color w:val="FF0000"/>
                                      <w:sz w:val="21"/>
                                      <w:u w:val="none" w:color="auto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/>
                                      <w:b w:val="1"/>
                                      <w:color w:val="FF0000"/>
                                      <w:sz w:val="21"/>
                                      <w:u w:val="single" w:color="auto"/>
                                    </w:rPr>
                                    <w:t>に限定されましたのでご注意ください。</w:t>
                                  </w:r>
                                </w:p>
                              </w:txbxContent>
                            </wps:txbx>
                            <wps:bodyPr vertOverflow="overflow" horzOverflow="overflow" wrap="squar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オブジェクト 0" style="mso-position-vertical-relative:text;z-index:8;mso-wrap-distance-left:16pt;width:224pt;height:108.8pt;mso-position-horizontal-relative:text;position:absolute;margin-left:-115.85pt;margin-top:-80.55pt;mso-wrap-distance-bottom:0pt;mso-wrap-distance-right:16pt;mso-wrap-distance-top:0pt;v-text-anchor:middle;" o:spid="_x0000_s1033" o:allowincell="t" o:allowoverlap="t" filled="t" fillcolor="#ffff00" stroked="t" strokecolor="#000000 [3200]" strokeweight="1pt" o:spt="2" arcsize="10923f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1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1"/>
                                <w:u w:val="single" w:color="auto"/>
                              </w:rPr>
                              <w:t>※令和５年度より補助対象経費の項目が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1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1"/>
                                <w:u w:val="none" w:color="auto"/>
                              </w:rPr>
                              <w:t>　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1"/>
                                <w:u w:val="single" w:color="auto"/>
                              </w:rPr>
                              <w:t>消耗品費、燃料費及び光熱水費、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1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1"/>
                                <w:u w:val="none" w:color="auto"/>
                              </w:rPr>
                              <w:t>　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1"/>
                                <w:u w:val="single" w:color="auto"/>
                              </w:rPr>
                              <w:t>印刷製本費、修繕料、テレビ受信料</w:t>
                            </w:r>
                          </w:p>
                          <w:p>
                            <w:pPr>
                              <w:pStyle w:val="0"/>
                              <w:ind w:firstLine="210" w:firstLineChars="100"/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1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FF0000"/>
                                <w:sz w:val="21"/>
                                <w:u w:val="single" w:color="auto"/>
                              </w:rPr>
                              <w:t>に限定されましたのでご注意ください。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oundrect>
                  </w:pict>
                </mc:Fallback>
              </mc:AlternateContent>
            </w: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歳　出　合　計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85,000</w:t>
            </w: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80,800</w:t>
            </w: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4,200</w:t>
            </w: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</w:tbl>
    <w:p>
      <w:pPr>
        <w:pStyle w:val="0"/>
        <w:jc w:val="both"/>
        <w:rPr>
          <w:rFonts w:hint="eastAsia" w:ascii="HG丸ｺﾞｼｯｸM-PRO" w:hAnsi="HG丸ｺﾞｼｯｸM-PRO" w:eastAsia="HG丸ｺﾞｼｯｸM-PRO"/>
          <w:sz w:val="22"/>
        </w:rPr>
      </w:pPr>
    </w:p>
    <w:sectPr>
      <w:headerReference r:id="rId5" w:type="default"/>
      <w:pgSz w:w="11906" w:h="16838"/>
      <w:pgMar w:top="1701" w:right="1417" w:bottom="1701" w:left="1417" w:header="851" w:footer="992" w:gutter="0"/>
      <w:pgBorders w:zOrder="front" w:display="allPages" w:offsetFrom="page"/>
      <w:cols w:space="720"/>
      <w:textDirection w:val="lrTb"/>
      <w:docGrid w:type="linesAndChars" w:linePitch="447" w:charSpace="-184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ind w:left="0" w:leftChars="0" w:firstLine="0" w:firstLineChars="0"/>
      <w:rPr>
        <w:rFonts w:hint="eastAsia" w:ascii="HG丸ｺﾞｼｯｸM-PRO" w:hAnsi="HG丸ｺﾞｼｯｸM-PRO" w:eastAsia="HG丸ｺﾞｼｯｸM-PRO"/>
        <w:sz w:val="24"/>
        <w:bdr w:val="single" w:color="auto" w:sz="4" w:space="0"/>
      </w:rPr>
    </w:pPr>
  </w:p>
  <w:p>
    <w:pPr>
      <w:pStyle w:val="0"/>
      <w:ind w:left="0" w:leftChars="0" w:firstLine="0" w:firstLineChars="0"/>
      <w:rPr>
        <w:rFonts w:hint="eastAsia" w:ascii="HG丸ｺﾞｼｯｸM-PRO" w:hAnsi="HG丸ｺﾞｼｯｸM-PRO" w:eastAsia="HG丸ｺﾞｼｯｸM-PRO"/>
        <w:sz w:val="24"/>
        <w:bdr w:val="single" w:color="auto" w:sz="4" w:space="0"/>
      </w:rPr>
    </w:pPr>
    <w:r>
      <w:rPr>
        <w:rFonts w:hint="eastAsia" w:ascii="HG丸ｺﾞｼｯｸM-PRO" w:hAnsi="HG丸ｺﾞｼｯｸM-PRO" w:eastAsia="HG丸ｺﾞｼｯｸM-PRO"/>
        <w:sz w:val="28"/>
        <w:bdr w:val="single" w:color="auto" w:sz="2" w:space="0"/>
      </w:rPr>
      <w:t xml:space="preserve"> </w:t>
    </w:r>
    <w:r>
      <w:rPr>
        <w:rFonts w:hint="eastAsia" w:ascii="HG丸ｺﾞｼｯｸM-PRO" w:hAnsi="HG丸ｺﾞｼｯｸM-PRO" w:eastAsia="HG丸ｺﾞｼｯｸM-PRO"/>
        <w:sz w:val="28"/>
        <w:bdr w:val="single" w:color="auto" w:sz="2" w:space="0"/>
      </w:rPr>
      <w:t>記入例</w:t>
    </w:r>
    <w:r>
      <w:rPr>
        <w:rFonts w:hint="eastAsia" w:ascii="HG丸ｺﾞｼｯｸM-PRO" w:hAnsi="HG丸ｺﾞｼｯｸM-PRO" w:eastAsia="HG丸ｺﾞｼｯｸM-PRO"/>
        <w:sz w:val="28"/>
        <w:bdr w:val="single" w:color="auto" w:sz="2" w:space="0"/>
      </w:rPr>
      <w:t xml:space="preserve"> 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840"/>
  <w:hyphenationZone w:val="0"/>
  <w:defaultTableStyle w:val="17"/>
  <w:drawingGridHorizontalSpacing w:val="200"/>
  <w:drawingGridVerticalSpacing w:val="22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151</TotalTime>
  <Pages>4</Pages>
  <Words>42</Words>
  <Characters>1041</Characters>
  <Application>JUST Note</Application>
  <Lines>188</Lines>
  <Paragraphs>120</Paragraphs>
  <CharactersWithSpaces>1259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永井 篤行</dc:creator>
  <cp:lastModifiedBy>永井 篤行</cp:lastModifiedBy>
  <dcterms:created xsi:type="dcterms:W3CDTF">2023-07-05T23:53:00Z</dcterms:created>
  <dcterms:modified xsi:type="dcterms:W3CDTF">2023-07-06T02:40:45Z</dcterms:modified>
  <cp:revision>14</cp:revision>
</cp:coreProperties>
</file>